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5C78" w14:textId="77777777" w:rsidR="00957E28" w:rsidRPr="00105E20" w:rsidRDefault="00921358" w:rsidP="009A0D86">
      <w:pPr>
        <w:ind w:left="142" w:right="141"/>
        <w:jc w:val="both"/>
        <w:rPr>
          <w:rFonts w:ascii="Arial" w:hAnsi="Arial" w:cs="Arial"/>
          <w:color w:val="FF0000"/>
          <w:sz w:val="24"/>
          <w:szCs w:val="24"/>
        </w:rPr>
      </w:pPr>
      <w:r w:rsidRPr="00105E20">
        <w:rPr>
          <w:rFonts w:ascii="Arial" w:hAnsi="Arial" w:cs="Arial"/>
          <w:noProof/>
          <w:color w:val="FF0000"/>
          <w:sz w:val="24"/>
          <w:szCs w:val="24"/>
          <w:lang w:eastAsia="en-GB"/>
        </w:rPr>
        <w:t xml:space="preserve">INSERT </w:t>
      </w:r>
      <w:r w:rsidR="00105E20">
        <w:rPr>
          <w:rFonts w:ascii="Arial" w:hAnsi="Arial" w:cs="Arial"/>
          <w:noProof/>
          <w:color w:val="FF0000"/>
          <w:sz w:val="24"/>
          <w:szCs w:val="24"/>
          <w:lang w:eastAsia="en-GB"/>
        </w:rPr>
        <w:t xml:space="preserve">ORGANISATION / </w:t>
      </w:r>
      <w:r w:rsidRPr="00105E20">
        <w:rPr>
          <w:rFonts w:ascii="Arial" w:hAnsi="Arial" w:cs="Arial"/>
          <w:noProof/>
          <w:color w:val="FF0000"/>
          <w:sz w:val="24"/>
          <w:szCs w:val="24"/>
          <w:lang w:eastAsia="en-GB"/>
        </w:rPr>
        <w:t>LOGO</w:t>
      </w:r>
    </w:p>
    <w:p w14:paraId="49A55C79" w14:textId="77777777" w:rsidR="00957E28" w:rsidRPr="009A0D86" w:rsidRDefault="003B5D02" w:rsidP="00105E20">
      <w:pPr>
        <w:ind w:left="142" w:right="-46"/>
        <w:jc w:val="center"/>
        <w:rPr>
          <w:rFonts w:ascii="Arial" w:hAnsi="Arial" w:cs="Arial"/>
          <w:b/>
          <w:sz w:val="28"/>
          <w:szCs w:val="28"/>
        </w:rPr>
      </w:pPr>
      <w:r w:rsidRPr="003B5D02">
        <w:rPr>
          <w:rFonts w:ascii="Arial" w:hAnsi="Arial" w:cs="Arial"/>
          <w:b/>
          <w:sz w:val="28"/>
          <w:szCs w:val="28"/>
        </w:rPr>
        <w:t>Disciplinary procedure</w:t>
      </w:r>
    </w:p>
    <w:p w14:paraId="49A55C7A" w14:textId="77777777" w:rsidR="00957E28" w:rsidRPr="00105E20" w:rsidRDefault="00957E28" w:rsidP="00957E28">
      <w:pPr>
        <w:ind w:left="142" w:right="-46"/>
        <w:jc w:val="both"/>
        <w:rPr>
          <w:rFonts w:ascii="Arial" w:hAnsi="Arial" w:cs="Arial"/>
          <w:b/>
          <w:sz w:val="24"/>
          <w:szCs w:val="24"/>
        </w:rPr>
      </w:pPr>
      <w:r w:rsidRPr="00105E20">
        <w:rPr>
          <w:rFonts w:ascii="Arial" w:hAnsi="Arial" w:cs="Arial"/>
          <w:b/>
          <w:sz w:val="24"/>
          <w:szCs w:val="24"/>
        </w:rPr>
        <w:t xml:space="preserve">Purpose </w:t>
      </w:r>
    </w:p>
    <w:p w14:paraId="49A55C7B" w14:textId="77777777" w:rsidR="003B5D02" w:rsidRPr="00105E20" w:rsidRDefault="00105E20" w:rsidP="00957E28">
      <w:pPr>
        <w:ind w:left="142" w:right="-46"/>
        <w:jc w:val="both"/>
        <w:rPr>
          <w:rFonts w:ascii="Arial" w:hAnsi="Arial" w:cs="Arial"/>
          <w:sz w:val="24"/>
          <w:szCs w:val="24"/>
        </w:rPr>
      </w:pPr>
      <w:r>
        <w:rPr>
          <w:rFonts w:ascii="Arial" w:hAnsi="Arial" w:cs="Arial"/>
          <w:color w:val="FF0000"/>
          <w:sz w:val="24"/>
          <w:szCs w:val="24"/>
        </w:rPr>
        <w:t>(INSERT ORGANISATION)</w:t>
      </w:r>
      <w:r w:rsidR="003B5D02" w:rsidRPr="00105E20">
        <w:rPr>
          <w:rFonts w:ascii="Arial" w:hAnsi="Arial" w:cs="Arial"/>
          <w:color w:val="FF0000"/>
          <w:sz w:val="24"/>
          <w:szCs w:val="24"/>
        </w:rPr>
        <w:t xml:space="preserve"> </w:t>
      </w:r>
      <w:r w:rsidR="003B5D02" w:rsidRPr="00105E20">
        <w:rPr>
          <w:rFonts w:ascii="Arial" w:hAnsi="Arial" w:cs="Arial"/>
          <w:sz w:val="24"/>
          <w:szCs w:val="24"/>
        </w:rPr>
        <w:t xml:space="preserve">does not wish to impose rules of conduct on its employees. However, certain standards of behaviour are necessary to maintain good employment relations and discipline in the interest of the employees. </w:t>
      </w:r>
      <w:r w:rsidR="00921358" w:rsidRPr="00105E20">
        <w:rPr>
          <w:rFonts w:ascii="Arial" w:hAnsi="Arial" w:cs="Arial"/>
          <w:color w:val="FF0000"/>
          <w:sz w:val="24"/>
          <w:szCs w:val="24"/>
        </w:rPr>
        <w:t>(*INSERT ORGANISATIONS*)</w:t>
      </w:r>
      <w:r w:rsidR="00957E28" w:rsidRPr="00105E20">
        <w:rPr>
          <w:rFonts w:ascii="Arial" w:hAnsi="Arial" w:cs="Arial"/>
          <w:sz w:val="24"/>
          <w:szCs w:val="24"/>
        </w:rPr>
        <w:t xml:space="preserve"> </w:t>
      </w:r>
      <w:r w:rsidR="003B5D02" w:rsidRPr="00105E20">
        <w:rPr>
          <w:rFonts w:ascii="Arial" w:hAnsi="Arial" w:cs="Arial"/>
          <w:sz w:val="24"/>
          <w:szCs w:val="24"/>
        </w:rPr>
        <w:t xml:space="preserve">prefers that discipline be voluntary and self-imposed, and in the great majority of cases this is how it works. However, from time to time it may be necessary for </w:t>
      </w:r>
      <w:r w:rsidR="00921358" w:rsidRPr="00105E20">
        <w:rPr>
          <w:rFonts w:ascii="Arial" w:hAnsi="Arial" w:cs="Arial"/>
          <w:color w:val="FF0000"/>
          <w:sz w:val="24"/>
          <w:szCs w:val="24"/>
        </w:rPr>
        <w:t>(*INSERT ORGANISATIONS*)</w:t>
      </w:r>
      <w:r w:rsidR="003B5D02" w:rsidRPr="00105E20">
        <w:rPr>
          <w:rFonts w:ascii="Arial" w:hAnsi="Arial" w:cs="Arial"/>
          <w:sz w:val="24"/>
          <w:szCs w:val="24"/>
        </w:rPr>
        <w:t xml:space="preserve"> to take action towards individuals whose level of behaviour or performance is unacceptable.</w:t>
      </w:r>
    </w:p>
    <w:p w14:paraId="49A55C7C" w14:textId="77777777" w:rsidR="003B5D02" w:rsidRPr="00105E20" w:rsidRDefault="003B5D02" w:rsidP="00957E28">
      <w:pPr>
        <w:ind w:left="142" w:right="-46"/>
        <w:jc w:val="both"/>
        <w:rPr>
          <w:rFonts w:ascii="Arial" w:hAnsi="Arial" w:cs="Arial"/>
          <w:sz w:val="24"/>
          <w:szCs w:val="24"/>
        </w:rPr>
      </w:pPr>
      <w:r w:rsidRPr="00105E20">
        <w:rPr>
          <w:rFonts w:ascii="Arial" w:hAnsi="Arial" w:cs="Arial"/>
          <w:sz w:val="24"/>
          <w:szCs w:val="24"/>
        </w:rPr>
        <w:t>This disciplinary procedure covers all employees, except those in their probationary period. It is entirely non-contractual and does not form part of an employee’s contract of employment.</w:t>
      </w:r>
    </w:p>
    <w:p w14:paraId="49A55C7D" w14:textId="77777777" w:rsidR="003B5D02" w:rsidRPr="00105E20" w:rsidRDefault="003B5D02" w:rsidP="00957E28">
      <w:pPr>
        <w:ind w:left="142" w:right="-46"/>
        <w:jc w:val="both"/>
        <w:rPr>
          <w:rFonts w:ascii="Arial" w:hAnsi="Arial" w:cs="Arial"/>
          <w:sz w:val="24"/>
          <w:szCs w:val="24"/>
        </w:rPr>
      </w:pPr>
      <w:r w:rsidRPr="00105E20">
        <w:rPr>
          <w:rFonts w:ascii="Arial" w:hAnsi="Arial" w:cs="Arial"/>
          <w:sz w:val="24"/>
          <w:szCs w:val="24"/>
        </w:rPr>
        <w:t>Minor faults will be dealt with informally through support and training. However, in cases where informal discussion with the employee does not lead to an improvement in conduct or performance, or where the matter is considered to be too serious to be classed as minor, (for example, unauthorised absences, persistent or poor timekeeping, sub-standard work performance etc.), the following disciplinary procedure will be used. At all stages of the procedure, an investigation will be carried out.</w:t>
      </w:r>
    </w:p>
    <w:p w14:paraId="49A55C7E" w14:textId="77777777" w:rsidR="00957E28" w:rsidRPr="00105E20" w:rsidRDefault="00957E28" w:rsidP="00957E28">
      <w:pPr>
        <w:ind w:left="142" w:right="-46"/>
        <w:jc w:val="both"/>
        <w:rPr>
          <w:rFonts w:ascii="Arial" w:hAnsi="Arial" w:cs="Arial"/>
          <w:b/>
          <w:sz w:val="24"/>
          <w:szCs w:val="24"/>
        </w:rPr>
      </w:pPr>
      <w:r w:rsidRPr="00105E20">
        <w:rPr>
          <w:rFonts w:ascii="Arial" w:hAnsi="Arial" w:cs="Arial"/>
          <w:b/>
          <w:sz w:val="24"/>
          <w:szCs w:val="24"/>
        </w:rPr>
        <w:t xml:space="preserve">Scope </w:t>
      </w:r>
    </w:p>
    <w:p w14:paraId="49A55C7F" w14:textId="77777777" w:rsidR="00957E28" w:rsidRPr="00105E20" w:rsidRDefault="00105E20" w:rsidP="00957E28">
      <w:pPr>
        <w:ind w:left="142" w:right="-46"/>
        <w:jc w:val="both"/>
        <w:rPr>
          <w:rFonts w:ascii="Arial" w:hAnsi="Arial" w:cs="Arial"/>
          <w:sz w:val="24"/>
          <w:szCs w:val="24"/>
        </w:rPr>
      </w:pPr>
      <w:r>
        <w:rPr>
          <w:rFonts w:ascii="Arial" w:hAnsi="Arial" w:cs="Arial"/>
          <w:color w:val="FF0000"/>
          <w:sz w:val="24"/>
          <w:szCs w:val="24"/>
        </w:rPr>
        <w:t>(INSERT ORGANISATION)</w:t>
      </w:r>
      <w:r w:rsidR="00FE797A" w:rsidRPr="00105E20">
        <w:rPr>
          <w:rFonts w:ascii="Arial" w:hAnsi="Arial" w:cs="Arial"/>
          <w:sz w:val="24"/>
          <w:szCs w:val="24"/>
        </w:rPr>
        <w:t xml:space="preserve"> will notify the employee in writing of the allegations against him or her and will invite the employee to a disciplinary hearing to discuss the matter. </w:t>
      </w:r>
      <w:r>
        <w:rPr>
          <w:rFonts w:ascii="Arial" w:hAnsi="Arial" w:cs="Arial"/>
          <w:color w:val="FF0000"/>
          <w:sz w:val="24"/>
          <w:szCs w:val="24"/>
        </w:rPr>
        <w:t>(INSERT ORGANISATION)</w:t>
      </w:r>
      <w:r w:rsidR="00FE797A" w:rsidRPr="00105E20">
        <w:rPr>
          <w:rFonts w:ascii="Arial" w:hAnsi="Arial" w:cs="Arial"/>
          <w:sz w:val="24"/>
          <w:szCs w:val="24"/>
        </w:rPr>
        <w:t xml:space="preserve"> will also notify the employee of the basis for the complaint of alleged misconduct or poor performance. Having given the employee reasonable opportunity to consider his or her response to the allegations, a formal disciplinary hearing will then take place, conducted by the </w:t>
      </w:r>
      <w:r w:rsidR="00957E28" w:rsidRPr="00105E20">
        <w:rPr>
          <w:rFonts w:ascii="Arial" w:hAnsi="Arial" w:cs="Arial"/>
          <w:sz w:val="24"/>
          <w:szCs w:val="24"/>
        </w:rPr>
        <w:t>Manager</w:t>
      </w:r>
      <w:r w:rsidR="00FE797A" w:rsidRPr="00105E20">
        <w:rPr>
          <w:rFonts w:ascii="Arial" w:hAnsi="Arial" w:cs="Arial"/>
          <w:sz w:val="24"/>
          <w:szCs w:val="24"/>
        </w:rPr>
        <w:t xml:space="preserve">, who is authorised to conduct disciplinary hearings and issue warnings. </w:t>
      </w:r>
    </w:p>
    <w:p w14:paraId="49A55C80" w14:textId="77777777" w:rsidR="00FE797A" w:rsidRPr="00105E20" w:rsidRDefault="00FE797A" w:rsidP="00957E28">
      <w:pPr>
        <w:ind w:left="142" w:right="-46"/>
        <w:jc w:val="both"/>
        <w:rPr>
          <w:rFonts w:ascii="Arial" w:hAnsi="Arial" w:cs="Arial"/>
          <w:sz w:val="24"/>
          <w:szCs w:val="24"/>
        </w:rPr>
      </w:pPr>
      <w:r w:rsidRPr="00105E20">
        <w:rPr>
          <w:rFonts w:ascii="Arial" w:hAnsi="Arial" w:cs="Arial"/>
          <w:sz w:val="24"/>
          <w:szCs w:val="24"/>
        </w:rPr>
        <w:t>At the hearing, the employee will be given the chance to state his or her case, accompanied if requested by a work colleague of his or her choice</w:t>
      </w:r>
      <w:r w:rsidR="002F56C5" w:rsidRPr="00105E20">
        <w:rPr>
          <w:rFonts w:ascii="Arial" w:hAnsi="Arial" w:cs="Arial"/>
          <w:sz w:val="24"/>
          <w:szCs w:val="24"/>
        </w:rPr>
        <w:t xml:space="preserve"> or a trade union official supporting the person concerned</w:t>
      </w:r>
      <w:r w:rsidRPr="00105E20">
        <w:rPr>
          <w:rFonts w:ascii="Arial" w:hAnsi="Arial" w:cs="Arial"/>
          <w:sz w:val="24"/>
          <w:szCs w:val="24"/>
        </w:rPr>
        <w:t xml:space="preserve">. The employee must take all reasonable steps to attend the meeting. Following the meeting, the employee will be informed in writing of </w:t>
      </w:r>
      <w:r w:rsidR="00105E20">
        <w:rPr>
          <w:rFonts w:ascii="Arial" w:hAnsi="Arial" w:cs="Arial"/>
          <w:color w:val="FF0000"/>
          <w:sz w:val="24"/>
          <w:szCs w:val="24"/>
        </w:rPr>
        <w:t>(INSERT ORGANISATION)</w:t>
      </w:r>
      <w:r w:rsidRPr="00105E20">
        <w:rPr>
          <w:rFonts w:ascii="Arial" w:hAnsi="Arial" w:cs="Arial"/>
          <w:sz w:val="24"/>
          <w:szCs w:val="24"/>
        </w:rPr>
        <w:t xml:space="preserve">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14:paraId="49A55C81" w14:textId="77777777" w:rsidR="009A0D86" w:rsidRPr="00105E20" w:rsidRDefault="009A0D86" w:rsidP="00957E28">
      <w:pPr>
        <w:ind w:left="142" w:right="-46"/>
        <w:jc w:val="both"/>
        <w:rPr>
          <w:rFonts w:ascii="Arial" w:hAnsi="Arial" w:cs="Arial"/>
          <w:b/>
          <w:sz w:val="24"/>
          <w:szCs w:val="24"/>
        </w:rPr>
      </w:pPr>
    </w:p>
    <w:p w14:paraId="49A55C82" w14:textId="77777777" w:rsidR="009A0D86" w:rsidRPr="00105E20" w:rsidRDefault="009A0D86" w:rsidP="00957E28">
      <w:pPr>
        <w:ind w:left="142" w:right="-46"/>
        <w:jc w:val="both"/>
        <w:rPr>
          <w:rFonts w:ascii="Arial" w:hAnsi="Arial" w:cs="Arial"/>
          <w:b/>
          <w:sz w:val="24"/>
          <w:szCs w:val="24"/>
        </w:rPr>
      </w:pPr>
    </w:p>
    <w:p w14:paraId="49A55C83" w14:textId="77777777" w:rsidR="009A0D86" w:rsidRPr="00105E20" w:rsidRDefault="009A0D86" w:rsidP="00957E28">
      <w:pPr>
        <w:ind w:left="142" w:right="-46"/>
        <w:jc w:val="both"/>
        <w:rPr>
          <w:rFonts w:ascii="Arial" w:hAnsi="Arial" w:cs="Arial"/>
          <w:b/>
          <w:sz w:val="24"/>
          <w:szCs w:val="24"/>
        </w:rPr>
      </w:pPr>
    </w:p>
    <w:p w14:paraId="49A55C84" w14:textId="77777777" w:rsidR="00FE797A" w:rsidRPr="00105E20" w:rsidRDefault="00FE797A" w:rsidP="00957E28">
      <w:pPr>
        <w:ind w:left="142" w:right="-46"/>
        <w:jc w:val="both"/>
        <w:rPr>
          <w:rFonts w:ascii="Arial" w:hAnsi="Arial" w:cs="Arial"/>
          <w:b/>
          <w:sz w:val="24"/>
          <w:szCs w:val="24"/>
        </w:rPr>
      </w:pPr>
      <w:r w:rsidRPr="00105E20">
        <w:rPr>
          <w:rFonts w:ascii="Arial" w:hAnsi="Arial" w:cs="Arial"/>
          <w:b/>
          <w:sz w:val="24"/>
          <w:szCs w:val="24"/>
        </w:rPr>
        <w:t>Stage 1: Written warning</w:t>
      </w:r>
    </w:p>
    <w:p w14:paraId="49A55C85" w14:textId="77777777" w:rsidR="00FE797A" w:rsidRPr="00105E20" w:rsidRDefault="00FE797A" w:rsidP="00957E28">
      <w:pPr>
        <w:ind w:left="142" w:right="-46"/>
        <w:jc w:val="both"/>
        <w:rPr>
          <w:rFonts w:ascii="Arial" w:hAnsi="Arial" w:cs="Arial"/>
          <w:sz w:val="24"/>
          <w:szCs w:val="24"/>
        </w:rPr>
      </w:pPr>
      <w:r w:rsidRPr="00105E20">
        <w:rPr>
          <w:rFonts w:ascii="Arial" w:hAnsi="Arial" w:cs="Arial"/>
          <w:sz w:val="24"/>
          <w:szCs w:val="24"/>
        </w:rPr>
        <w:t>If the employees conduct or performance is considered to be sufficiently unsatisfactory, then the employee will be given a formal written warning. He or she will be advised of the reason for the warning, how they need to improve their conduct or performance and the timescale over which the improvement is to be achieved. They will be told that the warning is the first stage of the formal disciplinary procedure and the likely consequences if the terms of the warning are not complied with. The written warning will be considered to be active for twelve months. After this time, it will no longer be regarded as active, subject to satisfactory conduct and performance.</w:t>
      </w:r>
    </w:p>
    <w:p w14:paraId="49A55C86" w14:textId="77777777" w:rsidR="00FE797A" w:rsidRPr="00105E20" w:rsidRDefault="00D23C09" w:rsidP="00957E28">
      <w:pPr>
        <w:ind w:left="142" w:right="-46"/>
        <w:jc w:val="both"/>
        <w:rPr>
          <w:rFonts w:ascii="Arial" w:hAnsi="Arial" w:cs="Arial"/>
          <w:b/>
          <w:sz w:val="24"/>
          <w:szCs w:val="24"/>
        </w:rPr>
      </w:pPr>
      <w:r w:rsidRPr="00105E20">
        <w:rPr>
          <w:rFonts w:ascii="Arial" w:hAnsi="Arial" w:cs="Arial"/>
          <w:b/>
          <w:sz w:val="24"/>
          <w:szCs w:val="24"/>
        </w:rPr>
        <w:t>Stage 2: F</w:t>
      </w:r>
      <w:r w:rsidR="00FE797A" w:rsidRPr="00105E20">
        <w:rPr>
          <w:rFonts w:ascii="Arial" w:hAnsi="Arial" w:cs="Arial"/>
          <w:b/>
          <w:sz w:val="24"/>
          <w:szCs w:val="24"/>
        </w:rPr>
        <w:t>inal written warning</w:t>
      </w:r>
    </w:p>
    <w:p w14:paraId="49A55C87" w14:textId="77777777" w:rsidR="00FE797A" w:rsidRPr="00105E20" w:rsidRDefault="00FE797A" w:rsidP="00957E28">
      <w:pPr>
        <w:ind w:left="142" w:right="-46"/>
        <w:jc w:val="both"/>
        <w:rPr>
          <w:rFonts w:ascii="Arial" w:hAnsi="Arial" w:cs="Arial"/>
          <w:sz w:val="24"/>
          <w:szCs w:val="24"/>
        </w:rPr>
      </w:pPr>
      <w:r w:rsidRPr="00105E20">
        <w:rPr>
          <w:rFonts w:ascii="Arial" w:hAnsi="Arial" w:cs="Arial"/>
          <w:sz w:val="24"/>
          <w:szCs w:val="24"/>
        </w:rPr>
        <w:t xml:space="preserve">If there is a failure to improve performance in response to the procedure so far, or there is a repeat of misconduct for which a warning has previously been issued, or if there is a first instance of serious misconduct </w:t>
      </w:r>
      <w:r w:rsidR="00AB114D" w:rsidRPr="00105E20">
        <w:rPr>
          <w:rFonts w:ascii="Arial" w:hAnsi="Arial" w:cs="Arial"/>
          <w:sz w:val="24"/>
          <w:szCs w:val="24"/>
        </w:rPr>
        <w:t>or serious poor performance, then a final written warning will be issued. This will give details of, and grounds for, the complaint, and how the employee needs to improve their conduct or performance. It will state the timescale over which the improvement is to be achieved, and warn that dismissal will probably result if the terms of the warning are not complied with. This final written warning will be recorded and active for 12 months. After this time, it will no longer be regarded as active, subject to satisfactory conduct and performance.</w:t>
      </w:r>
    </w:p>
    <w:p w14:paraId="49A55C88" w14:textId="77777777" w:rsidR="00AB114D" w:rsidRPr="00105E20" w:rsidRDefault="00AB114D" w:rsidP="00957E28">
      <w:pPr>
        <w:ind w:left="142" w:right="-46"/>
        <w:jc w:val="both"/>
        <w:rPr>
          <w:rFonts w:ascii="Arial" w:hAnsi="Arial" w:cs="Arial"/>
          <w:b/>
          <w:sz w:val="24"/>
          <w:szCs w:val="24"/>
        </w:rPr>
      </w:pPr>
      <w:r w:rsidRPr="00105E20">
        <w:rPr>
          <w:rFonts w:ascii="Arial" w:hAnsi="Arial" w:cs="Arial"/>
          <w:b/>
          <w:sz w:val="24"/>
          <w:szCs w:val="24"/>
        </w:rPr>
        <w:t>Stage 3: Dismissal</w:t>
      </w:r>
    </w:p>
    <w:p w14:paraId="49A55C89" w14:textId="77777777" w:rsidR="00AB114D" w:rsidRPr="00105E20" w:rsidRDefault="00AB114D" w:rsidP="00957E28">
      <w:pPr>
        <w:ind w:left="142" w:right="-46"/>
        <w:jc w:val="both"/>
        <w:rPr>
          <w:rFonts w:ascii="Arial" w:hAnsi="Arial" w:cs="Arial"/>
          <w:sz w:val="24"/>
          <w:szCs w:val="24"/>
        </w:rPr>
      </w:pPr>
      <w:r w:rsidRPr="00105E20">
        <w:rPr>
          <w:rFonts w:ascii="Arial" w:hAnsi="Arial" w:cs="Arial"/>
          <w:sz w:val="24"/>
          <w:szCs w:val="24"/>
        </w:rPr>
        <w:t>Failure to meet the requirements set out in the final written warning will normally lead to dismissal, with appropriate notice. A decision of this kind will only be made after the fulle</w:t>
      </w:r>
      <w:r w:rsidR="00957E28" w:rsidRPr="00105E20">
        <w:rPr>
          <w:rFonts w:ascii="Arial" w:hAnsi="Arial" w:cs="Arial"/>
          <w:sz w:val="24"/>
          <w:szCs w:val="24"/>
        </w:rPr>
        <w:t>st possible investigation. The Manager</w:t>
      </w:r>
      <w:r w:rsidRPr="00105E20">
        <w:rPr>
          <w:rFonts w:ascii="Arial" w:hAnsi="Arial" w:cs="Arial"/>
          <w:sz w:val="24"/>
          <w:szCs w:val="24"/>
        </w:rPr>
        <w:t xml:space="preserve"> can make a referral to a panel of the Board of Directors to consider dismissal. If the decision is in favour of dismissal, the employee will be informed of the reasons for dismissal, the appropriate period of notice, the date on which his or her employment will terminate and how the employee can appeal against the dismissal decision.</w:t>
      </w:r>
    </w:p>
    <w:p w14:paraId="49A55C8A" w14:textId="77777777" w:rsidR="00AB114D" w:rsidRPr="00105E20" w:rsidRDefault="00AB114D" w:rsidP="00957E28">
      <w:pPr>
        <w:ind w:left="142" w:right="-46"/>
        <w:jc w:val="both"/>
        <w:rPr>
          <w:rFonts w:ascii="Arial" w:hAnsi="Arial" w:cs="Arial"/>
          <w:b/>
          <w:sz w:val="24"/>
          <w:szCs w:val="24"/>
        </w:rPr>
      </w:pPr>
      <w:r w:rsidRPr="00105E20">
        <w:rPr>
          <w:rFonts w:ascii="Arial" w:hAnsi="Arial" w:cs="Arial"/>
          <w:b/>
          <w:sz w:val="24"/>
          <w:szCs w:val="24"/>
        </w:rPr>
        <w:t>Gross misconduct</w:t>
      </w:r>
    </w:p>
    <w:p w14:paraId="49A55C8B" w14:textId="77777777" w:rsidR="00B867D9" w:rsidRPr="00105E20" w:rsidRDefault="00AB114D" w:rsidP="00957E28">
      <w:pPr>
        <w:ind w:left="142" w:right="-46"/>
        <w:jc w:val="both"/>
        <w:rPr>
          <w:rFonts w:ascii="Arial" w:hAnsi="Arial" w:cs="Arial"/>
          <w:sz w:val="24"/>
          <w:szCs w:val="24"/>
        </w:rPr>
      </w:pPr>
      <w:r w:rsidRPr="00105E20">
        <w:rPr>
          <w:rFonts w:ascii="Arial" w:hAnsi="Arial" w:cs="Arial"/>
          <w:sz w:val="24"/>
          <w:szCs w:val="24"/>
        </w:rPr>
        <w:t xml:space="preserve">Offences under this heading are so serious that an employee who commits them will normally be summarily dismissed. In such cases, </w:t>
      </w:r>
      <w:r w:rsidR="00105E20">
        <w:rPr>
          <w:rFonts w:ascii="Arial" w:hAnsi="Arial" w:cs="Arial"/>
          <w:color w:val="FF0000"/>
          <w:sz w:val="24"/>
          <w:szCs w:val="24"/>
        </w:rPr>
        <w:t>(INSERT ORGANISATION)</w:t>
      </w:r>
      <w:r w:rsidRPr="00105E20">
        <w:rPr>
          <w:rFonts w:ascii="Arial" w:hAnsi="Arial" w:cs="Arial"/>
          <w:sz w:val="24"/>
          <w:szCs w:val="24"/>
        </w:rPr>
        <w:t xml:space="preserve"> reserves the right to dismiss without notice of termination</w:t>
      </w:r>
      <w:r w:rsidR="00B867D9" w:rsidRPr="00105E20">
        <w:rPr>
          <w:rFonts w:ascii="Arial" w:hAnsi="Arial" w:cs="Arial"/>
          <w:sz w:val="24"/>
          <w:szCs w:val="24"/>
        </w:rPr>
        <w:t xml:space="preserve"> or payment in lieu of notice. Examples of gross misconduct include:</w:t>
      </w:r>
    </w:p>
    <w:p w14:paraId="49A55C8C"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Any breakage of the law, such as theft</w:t>
      </w:r>
      <w:r w:rsidR="006B67F8" w:rsidRPr="00105E20">
        <w:rPr>
          <w:rFonts w:ascii="Arial" w:hAnsi="Arial" w:cs="Arial"/>
          <w:sz w:val="24"/>
          <w:szCs w:val="24"/>
        </w:rPr>
        <w:t xml:space="preserve"> and unauthorised possession </w:t>
      </w:r>
      <w:r w:rsidR="000B58F1" w:rsidRPr="00105E20">
        <w:rPr>
          <w:rFonts w:ascii="Arial" w:hAnsi="Arial" w:cs="Arial"/>
          <w:sz w:val="24"/>
          <w:szCs w:val="24"/>
        </w:rPr>
        <w:t xml:space="preserve">or </w:t>
      </w:r>
      <w:r w:rsidR="00105E20">
        <w:rPr>
          <w:rFonts w:ascii="Arial" w:hAnsi="Arial" w:cs="Arial"/>
          <w:color w:val="FF0000"/>
          <w:sz w:val="24"/>
          <w:szCs w:val="24"/>
        </w:rPr>
        <w:t>(INSERT ORGANISATION)</w:t>
      </w:r>
      <w:r w:rsidRPr="00105E20">
        <w:rPr>
          <w:rFonts w:ascii="Arial" w:hAnsi="Arial" w:cs="Arial"/>
          <w:sz w:val="24"/>
          <w:szCs w:val="24"/>
        </w:rPr>
        <w:t xml:space="preserve"> property, fraud, deliberate falsification of records or any other form of dishonesty.</w:t>
      </w:r>
    </w:p>
    <w:p w14:paraId="49A55C8D"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Wilfully causing harm or injury to another employee, physical violence, bullying or grossly offensive behaviour.</w:t>
      </w:r>
    </w:p>
    <w:p w14:paraId="49A55C8E"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 xml:space="preserve">Deliberately causing damage to </w:t>
      </w:r>
      <w:r w:rsidR="00105E20">
        <w:rPr>
          <w:rFonts w:ascii="Arial" w:hAnsi="Arial" w:cs="Arial"/>
          <w:color w:val="FF0000"/>
          <w:sz w:val="24"/>
          <w:szCs w:val="24"/>
        </w:rPr>
        <w:t>(INSERT ORGANISATION)</w:t>
      </w:r>
      <w:r w:rsidRPr="00105E20">
        <w:rPr>
          <w:rFonts w:ascii="Arial" w:hAnsi="Arial" w:cs="Arial"/>
          <w:sz w:val="24"/>
          <w:szCs w:val="24"/>
        </w:rPr>
        <w:t xml:space="preserve"> property.</w:t>
      </w:r>
    </w:p>
    <w:p w14:paraId="49A55C8F"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lastRenderedPageBreak/>
        <w:t>Causing loss, damage or injury through serious carelessness.</w:t>
      </w:r>
    </w:p>
    <w:p w14:paraId="49A55C90"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Wilful refusal to obey a reasonable management instruction.</w:t>
      </w:r>
    </w:p>
    <w:p w14:paraId="49A55C91"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Incapacity at work through an excess of alcohol or drugs.</w:t>
      </w:r>
    </w:p>
    <w:p w14:paraId="49A55C92"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A serious breach of health and safety rules.</w:t>
      </w:r>
    </w:p>
    <w:p w14:paraId="49A55C93"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Harassing or victimising another employee on the grounds of race, colour, ethnic origin, nationality, national origin, religion or belief, sex, sexual orientation, gender reassignment, marital status, age and/or disability.</w:t>
      </w:r>
    </w:p>
    <w:p w14:paraId="49A55C94"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 xml:space="preserve">Actions which damage the reputation of </w:t>
      </w:r>
      <w:r w:rsidR="00105E20">
        <w:rPr>
          <w:rFonts w:ascii="Arial" w:hAnsi="Arial" w:cs="Arial"/>
          <w:color w:val="FF0000"/>
          <w:sz w:val="24"/>
          <w:szCs w:val="24"/>
        </w:rPr>
        <w:t>(INSERT ORGANISATION)</w:t>
      </w:r>
      <w:r w:rsidRPr="00105E20">
        <w:rPr>
          <w:rFonts w:ascii="Arial" w:hAnsi="Arial" w:cs="Arial"/>
          <w:sz w:val="24"/>
          <w:szCs w:val="24"/>
        </w:rPr>
        <w:t xml:space="preserve"> or bring it into disrepute.</w:t>
      </w:r>
    </w:p>
    <w:p w14:paraId="49A55C95" w14:textId="77777777" w:rsidR="00B867D9" w:rsidRPr="00105E20" w:rsidRDefault="00B867D9" w:rsidP="00957E28">
      <w:pPr>
        <w:pStyle w:val="ListParagraph"/>
        <w:numPr>
          <w:ilvl w:val="0"/>
          <w:numId w:val="2"/>
        </w:numPr>
        <w:ind w:left="142" w:right="-46"/>
        <w:jc w:val="both"/>
        <w:rPr>
          <w:rFonts w:ascii="Arial" w:hAnsi="Arial" w:cs="Arial"/>
          <w:sz w:val="24"/>
          <w:szCs w:val="24"/>
        </w:rPr>
      </w:pPr>
      <w:r w:rsidRPr="00105E20">
        <w:rPr>
          <w:rFonts w:ascii="Arial" w:hAnsi="Arial" w:cs="Arial"/>
          <w:sz w:val="24"/>
          <w:szCs w:val="24"/>
        </w:rPr>
        <w:t>Flagrant disregard of our policies and procedures.</w:t>
      </w:r>
    </w:p>
    <w:p w14:paraId="49A55C96" w14:textId="77777777" w:rsidR="00B867D9" w:rsidRPr="00105E20" w:rsidRDefault="00B867D9" w:rsidP="00957E28">
      <w:pPr>
        <w:ind w:left="142" w:right="-46"/>
        <w:jc w:val="both"/>
        <w:rPr>
          <w:rFonts w:ascii="Arial" w:hAnsi="Arial" w:cs="Arial"/>
          <w:sz w:val="24"/>
          <w:szCs w:val="24"/>
        </w:rPr>
      </w:pPr>
      <w:r w:rsidRPr="00105E20">
        <w:rPr>
          <w:rFonts w:ascii="Arial" w:hAnsi="Arial" w:cs="Arial"/>
          <w:sz w:val="24"/>
          <w:szCs w:val="24"/>
        </w:rPr>
        <w:t>The above is intended as a guide and is not an exhaustive list.</w:t>
      </w:r>
    </w:p>
    <w:p w14:paraId="49A55C97" w14:textId="77777777" w:rsidR="00B867D9" w:rsidRPr="00105E20" w:rsidRDefault="00B867D9" w:rsidP="00957E28">
      <w:pPr>
        <w:ind w:left="142" w:right="-46"/>
        <w:jc w:val="both"/>
        <w:rPr>
          <w:rFonts w:ascii="Arial" w:hAnsi="Arial" w:cs="Arial"/>
          <w:b/>
          <w:sz w:val="24"/>
          <w:szCs w:val="24"/>
        </w:rPr>
      </w:pPr>
      <w:r w:rsidRPr="00105E20">
        <w:rPr>
          <w:rFonts w:ascii="Arial" w:hAnsi="Arial" w:cs="Arial"/>
          <w:b/>
          <w:sz w:val="24"/>
          <w:szCs w:val="24"/>
        </w:rPr>
        <w:t>Suspension</w:t>
      </w:r>
    </w:p>
    <w:p w14:paraId="49A55C98" w14:textId="77777777" w:rsidR="005C1EF1" w:rsidRPr="00105E20" w:rsidRDefault="00B867D9" w:rsidP="00957E28">
      <w:pPr>
        <w:ind w:left="142" w:right="-46"/>
        <w:jc w:val="both"/>
        <w:rPr>
          <w:rFonts w:ascii="Arial" w:hAnsi="Arial" w:cs="Arial"/>
          <w:sz w:val="24"/>
          <w:szCs w:val="24"/>
        </w:rPr>
      </w:pPr>
      <w:r w:rsidRPr="00105E20">
        <w:rPr>
          <w:rFonts w:ascii="Arial" w:hAnsi="Arial" w:cs="Arial"/>
          <w:sz w:val="24"/>
          <w:szCs w:val="24"/>
        </w:rPr>
        <w:t>In the event of serious</w:t>
      </w:r>
      <w:r w:rsidR="005C1EF1" w:rsidRPr="00105E20">
        <w:rPr>
          <w:rFonts w:ascii="Arial" w:hAnsi="Arial" w:cs="Arial"/>
          <w:sz w:val="24"/>
          <w:szCs w:val="24"/>
        </w:rPr>
        <w:t xml:space="preserve"> or gross misconduct, an employee may be suspended while a full investigation is carried out. Such suspension will be in full pay. Suspension is a neutral act, which does not imply guilt or blame, and will be for as short a period as possible. An employee must be available to attend any fact finding interview during the suspension period.</w:t>
      </w:r>
    </w:p>
    <w:p w14:paraId="49A55C99" w14:textId="77777777" w:rsidR="00B867D9" w:rsidRPr="00105E20" w:rsidRDefault="005C1EF1" w:rsidP="00957E28">
      <w:pPr>
        <w:ind w:left="142" w:right="-46"/>
        <w:jc w:val="both"/>
        <w:rPr>
          <w:rFonts w:ascii="Arial" w:hAnsi="Arial" w:cs="Arial"/>
          <w:b/>
          <w:sz w:val="24"/>
          <w:szCs w:val="24"/>
        </w:rPr>
      </w:pPr>
      <w:r w:rsidRPr="00105E20">
        <w:rPr>
          <w:rFonts w:ascii="Arial" w:hAnsi="Arial" w:cs="Arial"/>
          <w:b/>
          <w:sz w:val="24"/>
          <w:szCs w:val="24"/>
        </w:rPr>
        <w:t xml:space="preserve">Appeals </w:t>
      </w:r>
    </w:p>
    <w:p w14:paraId="49A55C9A" w14:textId="77777777" w:rsidR="005C1EF1" w:rsidRPr="00105E20" w:rsidRDefault="005C1EF1" w:rsidP="00957E28">
      <w:pPr>
        <w:ind w:left="142" w:right="-46"/>
        <w:jc w:val="both"/>
        <w:rPr>
          <w:rFonts w:ascii="Arial" w:hAnsi="Arial" w:cs="Arial"/>
          <w:sz w:val="24"/>
          <w:szCs w:val="24"/>
        </w:rPr>
      </w:pPr>
      <w:r w:rsidRPr="00105E20">
        <w:rPr>
          <w:rFonts w:ascii="Arial" w:hAnsi="Arial" w:cs="Arial"/>
          <w:sz w:val="24"/>
          <w:szCs w:val="24"/>
        </w:rPr>
        <w:t xml:space="preserve">An employee may appeal against any disciplinary decision, including dismissal, to a panel of the directors of </w:t>
      </w:r>
      <w:r w:rsidR="00105E20">
        <w:rPr>
          <w:rFonts w:ascii="Arial" w:hAnsi="Arial" w:cs="Arial"/>
          <w:color w:val="FF0000"/>
          <w:sz w:val="24"/>
          <w:szCs w:val="24"/>
        </w:rPr>
        <w:t>(INSERT ORGANISATION)</w:t>
      </w:r>
      <w:r w:rsidRPr="00105E20">
        <w:rPr>
          <w:rFonts w:ascii="Arial" w:hAnsi="Arial" w:cs="Arial"/>
          <w:sz w:val="24"/>
          <w:szCs w:val="24"/>
        </w:rPr>
        <w:t xml:space="preserve"> within five working days of the decision. Appeals should be made in writing and state the grounds for appeal. The employee will be invited to attend an appeal hearing chaired by a director. At the appeal hearing, the employee will be given the chance to state his or her case and will have the right to be accompanied by a fellow employee of his or her choice. Following the appeal hearing, the employee will be informed of the appeal decision and the reasons for it, in writing. The decision taken by </w:t>
      </w:r>
      <w:r w:rsidR="00105E20">
        <w:rPr>
          <w:rFonts w:ascii="Arial" w:hAnsi="Arial" w:cs="Arial"/>
          <w:color w:val="FF0000"/>
          <w:sz w:val="24"/>
          <w:szCs w:val="24"/>
        </w:rPr>
        <w:t>(INSERT ORGANISATION)</w:t>
      </w:r>
      <w:r w:rsidRPr="00105E20">
        <w:rPr>
          <w:rFonts w:ascii="Arial" w:hAnsi="Arial" w:cs="Arial"/>
          <w:sz w:val="24"/>
          <w:szCs w:val="24"/>
        </w:rPr>
        <w:t xml:space="preserve"> at the appeal hearing will be final.</w:t>
      </w:r>
    </w:p>
    <w:p w14:paraId="49A55C9B" w14:textId="77777777" w:rsidR="009A0D86" w:rsidRPr="00105E20" w:rsidRDefault="009A0D86" w:rsidP="00957E28">
      <w:pPr>
        <w:ind w:left="142" w:right="-46"/>
        <w:jc w:val="both"/>
        <w:rPr>
          <w:rFonts w:ascii="Arial" w:hAnsi="Arial" w:cs="Arial"/>
          <w:sz w:val="24"/>
          <w:szCs w:val="24"/>
        </w:rPr>
      </w:pPr>
    </w:p>
    <w:p w14:paraId="49A55C9C" w14:textId="77777777" w:rsidR="005C1EF1" w:rsidRPr="00105E20" w:rsidRDefault="005C1EF1" w:rsidP="00957E28">
      <w:pPr>
        <w:ind w:left="142" w:right="-46"/>
        <w:jc w:val="both"/>
        <w:rPr>
          <w:rFonts w:ascii="Arial" w:hAnsi="Arial" w:cs="Arial"/>
          <w:sz w:val="24"/>
          <w:szCs w:val="24"/>
        </w:rPr>
      </w:pPr>
    </w:p>
    <w:p w14:paraId="49A55C9D" w14:textId="77777777" w:rsidR="00105E20" w:rsidRDefault="00105E20" w:rsidP="00105E20">
      <w:pPr>
        <w:shd w:val="clear" w:color="auto" w:fill="FFFFFF"/>
        <w:spacing w:after="0" w:line="240" w:lineRule="auto"/>
        <w:rPr>
          <w:rFonts w:ascii="Arial" w:eastAsia="Times New Roman" w:hAnsi="Arial" w:cs="Arial"/>
          <w:b/>
          <w:bCs/>
          <w:color w:val="000000"/>
          <w:lang w:eastAsia="en-GB"/>
        </w:rPr>
      </w:pPr>
    </w:p>
    <w:p w14:paraId="49A55C9E" w14:textId="77777777" w:rsidR="00105E20" w:rsidRDefault="00105E20" w:rsidP="00105E20">
      <w:pPr>
        <w:shd w:val="clear" w:color="auto" w:fill="FFFFFF"/>
        <w:spacing w:after="0" w:line="240" w:lineRule="auto"/>
        <w:rPr>
          <w:rFonts w:ascii="Arial" w:eastAsia="Times New Roman" w:hAnsi="Arial" w:cs="Arial"/>
          <w:b/>
          <w:bCs/>
          <w:color w:val="000000"/>
          <w:lang w:eastAsia="en-GB"/>
        </w:rPr>
      </w:pPr>
    </w:p>
    <w:p w14:paraId="49A55C9F" w14:textId="77777777" w:rsidR="00105E20" w:rsidRPr="00105E20" w:rsidRDefault="00105E20" w:rsidP="00105E20">
      <w:pPr>
        <w:shd w:val="clear" w:color="auto" w:fill="FFFFFF"/>
        <w:spacing w:after="0" w:line="240" w:lineRule="auto"/>
        <w:rPr>
          <w:rFonts w:ascii="Calibri" w:eastAsia="Times New Roman" w:hAnsi="Calibri" w:cs="Times New Roman"/>
          <w:color w:val="000000"/>
          <w:sz w:val="24"/>
          <w:szCs w:val="24"/>
          <w:lang w:eastAsia="en-GB"/>
        </w:rPr>
      </w:pPr>
      <w:r w:rsidRPr="00105E20">
        <w:rPr>
          <w:rFonts w:ascii="Arial" w:eastAsia="Times New Roman" w:hAnsi="Arial" w:cs="Arial"/>
          <w:b/>
          <w:bCs/>
          <w:color w:val="000000"/>
          <w:sz w:val="24"/>
          <w:szCs w:val="24"/>
          <w:lang w:eastAsia="en-GB"/>
        </w:rPr>
        <w:t>DISCLAIMER</w:t>
      </w:r>
    </w:p>
    <w:p w14:paraId="49A55CA0" w14:textId="77777777" w:rsidR="00105E20" w:rsidRPr="00105E20" w:rsidRDefault="00105E20" w:rsidP="00105E20">
      <w:pPr>
        <w:shd w:val="clear" w:color="auto" w:fill="FFFFFF"/>
        <w:spacing w:after="0" w:line="240" w:lineRule="auto"/>
        <w:rPr>
          <w:rFonts w:ascii="Calibri" w:eastAsia="Times New Roman" w:hAnsi="Calibri" w:cs="Times New Roman"/>
          <w:color w:val="000000"/>
          <w:sz w:val="24"/>
          <w:szCs w:val="24"/>
          <w:lang w:eastAsia="en-GB"/>
        </w:rPr>
      </w:pPr>
      <w:r w:rsidRPr="00105E20">
        <w:rPr>
          <w:rFonts w:ascii="Arial" w:eastAsia="Times New Roman" w:hAnsi="Arial" w:cs="Arial"/>
          <w:b/>
          <w:bCs/>
          <w:color w:val="000000"/>
          <w:sz w:val="24"/>
          <w:szCs w:val="24"/>
          <w:lang w:eastAsia="en-GB"/>
        </w:rPr>
        <w:t> </w:t>
      </w:r>
    </w:p>
    <w:p w14:paraId="49A55CA1" w14:textId="77777777" w:rsidR="00105E20" w:rsidRPr="00105E20" w:rsidRDefault="00105E20" w:rsidP="00105E20">
      <w:pPr>
        <w:shd w:val="clear" w:color="auto" w:fill="FFFFFF"/>
        <w:spacing w:after="0" w:line="240" w:lineRule="auto"/>
        <w:rPr>
          <w:rFonts w:ascii="Calibri" w:eastAsia="Times New Roman" w:hAnsi="Calibri" w:cs="Times New Roman"/>
          <w:color w:val="000000"/>
          <w:sz w:val="24"/>
          <w:szCs w:val="24"/>
          <w:lang w:eastAsia="en-GB"/>
        </w:rPr>
      </w:pPr>
      <w:r w:rsidRPr="00105E20">
        <w:rPr>
          <w:rFonts w:ascii="Arial" w:eastAsia="Times New Roman" w:hAnsi="Arial" w:cs="Arial"/>
          <w:b/>
          <w:bCs/>
          <w:color w:val="000000"/>
          <w:sz w:val="24"/>
          <w:szCs w:val="24"/>
          <w:lang w:eastAsia="en-GB"/>
        </w:rPr>
        <w:t>This good practice model policy is produced by Warrington Voluntary Action for you to adapt to suit the needs of your organisation. Please note that we do not accept any liability for how it is used.</w:t>
      </w:r>
    </w:p>
    <w:p w14:paraId="49A55CA2" w14:textId="77777777" w:rsidR="005C1EF1" w:rsidRPr="00105E20" w:rsidRDefault="005C1EF1" w:rsidP="00957E28">
      <w:pPr>
        <w:ind w:left="142" w:right="-46"/>
        <w:jc w:val="both"/>
        <w:rPr>
          <w:rFonts w:ascii="Arial" w:hAnsi="Arial" w:cs="Arial"/>
          <w:sz w:val="24"/>
          <w:szCs w:val="24"/>
        </w:rPr>
      </w:pPr>
    </w:p>
    <w:sectPr w:rsidR="005C1EF1" w:rsidRPr="00105E20" w:rsidSect="009A0D86">
      <w:headerReference w:type="default" r:id="rId11"/>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5CA5" w14:textId="77777777" w:rsidR="00957E28" w:rsidRDefault="00957E28" w:rsidP="00957E28">
      <w:pPr>
        <w:spacing w:after="0" w:line="240" w:lineRule="auto"/>
      </w:pPr>
      <w:r>
        <w:separator/>
      </w:r>
    </w:p>
  </w:endnote>
  <w:endnote w:type="continuationSeparator" w:id="0">
    <w:p w14:paraId="49A55CA6" w14:textId="77777777" w:rsidR="00957E28" w:rsidRDefault="00957E28" w:rsidP="0095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5CA3" w14:textId="77777777" w:rsidR="00957E28" w:rsidRDefault="00957E28" w:rsidP="00957E28">
      <w:pPr>
        <w:spacing w:after="0" w:line="240" w:lineRule="auto"/>
      </w:pPr>
      <w:r>
        <w:separator/>
      </w:r>
    </w:p>
  </w:footnote>
  <w:footnote w:type="continuationSeparator" w:id="0">
    <w:p w14:paraId="49A55CA4" w14:textId="77777777" w:rsidR="00957E28" w:rsidRDefault="00957E28" w:rsidP="0095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5CA7" w14:textId="77777777" w:rsidR="00957E28" w:rsidRDefault="00957E28" w:rsidP="00957E28">
    <w:pPr>
      <w:pStyle w:val="Header"/>
      <w:jc w:val="right"/>
    </w:pPr>
  </w:p>
  <w:p w14:paraId="49A55CA8" w14:textId="77777777" w:rsidR="00957E28" w:rsidRDefault="00957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37CC"/>
    <w:multiLevelType w:val="hybridMultilevel"/>
    <w:tmpl w:val="7FCE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53DCF"/>
    <w:multiLevelType w:val="hybridMultilevel"/>
    <w:tmpl w:val="C636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865377">
    <w:abstractNumId w:val="0"/>
  </w:num>
  <w:num w:numId="2" w16cid:durableId="63834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02"/>
    <w:rsid w:val="000B58F1"/>
    <w:rsid w:val="00105E20"/>
    <w:rsid w:val="00196046"/>
    <w:rsid w:val="002F56C5"/>
    <w:rsid w:val="003B5D02"/>
    <w:rsid w:val="00467EA5"/>
    <w:rsid w:val="0054340F"/>
    <w:rsid w:val="005C1EF1"/>
    <w:rsid w:val="006B67F8"/>
    <w:rsid w:val="00921358"/>
    <w:rsid w:val="00957E28"/>
    <w:rsid w:val="009A0D86"/>
    <w:rsid w:val="00AB114D"/>
    <w:rsid w:val="00B867D9"/>
    <w:rsid w:val="00D12BC7"/>
    <w:rsid w:val="00D23C09"/>
    <w:rsid w:val="00F4365D"/>
    <w:rsid w:val="00FE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55C78"/>
  <w15:docId w15:val="{E49D5126-F006-48B8-AAD9-0B898893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D9"/>
    <w:pPr>
      <w:ind w:left="720"/>
      <w:contextualSpacing/>
    </w:pPr>
  </w:style>
  <w:style w:type="paragraph" w:styleId="BalloonText">
    <w:name w:val="Balloon Text"/>
    <w:basedOn w:val="Normal"/>
    <w:link w:val="BalloonTextChar"/>
    <w:uiPriority w:val="99"/>
    <w:semiHidden/>
    <w:unhideWhenUsed/>
    <w:rsid w:val="005C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F1"/>
    <w:rPr>
      <w:rFonts w:ascii="Tahoma" w:hAnsi="Tahoma" w:cs="Tahoma"/>
      <w:sz w:val="16"/>
      <w:szCs w:val="16"/>
    </w:rPr>
  </w:style>
  <w:style w:type="paragraph" w:styleId="Header">
    <w:name w:val="header"/>
    <w:basedOn w:val="Normal"/>
    <w:link w:val="HeaderChar"/>
    <w:uiPriority w:val="99"/>
    <w:unhideWhenUsed/>
    <w:rsid w:val="00957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E28"/>
  </w:style>
  <w:style w:type="paragraph" w:styleId="Footer">
    <w:name w:val="footer"/>
    <w:basedOn w:val="Normal"/>
    <w:link w:val="FooterChar"/>
    <w:uiPriority w:val="99"/>
    <w:unhideWhenUsed/>
    <w:rsid w:val="00957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2567">
      <w:bodyDiv w:val="1"/>
      <w:marLeft w:val="0"/>
      <w:marRight w:val="0"/>
      <w:marTop w:val="0"/>
      <w:marBottom w:val="0"/>
      <w:divBdr>
        <w:top w:val="none" w:sz="0" w:space="0" w:color="auto"/>
        <w:left w:val="none" w:sz="0" w:space="0" w:color="auto"/>
        <w:bottom w:val="none" w:sz="0" w:space="0" w:color="auto"/>
        <w:right w:val="none" w:sz="0" w:space="0" w:color="auto"/>
      </w:divBdr>
    </w:div>
    <w:div w:id="1931620505">
      <w:bodyDiv w:val="1"/>
      <w:marLeft w:val="0"/>
      <w:marRight w:val="0"/>
      <w:marTop w:val="0"/>
      <w:marBottom w:val="0"/>
      <w:divBdr>
        <w:top w:val="none" w:sz="0" w:space="0" w:color="auto"/>
        <w:left w:val="none" w:sz="0" w:space="0" w:color="auto"/>
        <w:bottom w:val="none" w:sz="0" w:space="0" w:color="auto"/>
        <w:right w:val="none" w:sz="0" w:space="0" w:color="auto"/>
      </w:divBdr>
      <w:divsChild>
        <w:div w:id="1450860292">
          <w:marLeft w:val="0"/>
          <w:marRight w:val="0"/>
          <w:marTop w:val="0"/>
          <w:marBottom w:val="0"/>
          <w:divBdr>
            <w:top w:val="none" w:sz="0" w:space="0" w:color="auto"/>
            <w:left w:val="none" w:sz="0" w:space="0" w:color="auto"/>
            <w:bottom w:val="none" w:sz="0" w:space="0" w:color="auto"/>
            <w:right w:val="none" w:sz="0" w:space="0" w:color="auto"/>
          </w:divBdr>
        </w:div>
        <w:div w:id="800728774">
          <w:marLeft w:val="0"/>
          <w:marRight w:val="0"/>
          <w:marTop w:val="0"/>
          <w:marBottom w:val="0"/>
          <w:divBdr>
            <w:top w:val="none" w:sz="0" w:space="0" w:color="auto"/>
            <w:left w:val="none" w:sz="0" w:space="0" w:color="auto"/>
            <w:bottom w:val="none" w:sz="0" w:space="0" w:color="auto"/>
            <w:right w:val="none" w:sz="0" w:space="0" w:color="auto"/>
          </w:divBdr>
        </w:div>
        <w:div w:id="1511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3" ma:contentTypeDescription="Create a new document." ma:contentTypeScope="" ma:versionID="0eecd7d265f88d42fc2a6872eb7e86f9">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8a2c2e52e6aede82af13825ed19bacab"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05FA3-5E97-4BEF-A326-8D477CC6F25A}">
  <ds:schemaRefs>
    <ds:schemaRef ds:uri="http://schemas.microsoft.com/sharepoint/v3/contenttype/forms"/>
  </ds:schemaRefs>
</ds:datastoreItem>
</file>

<file path=customXml/itemProps2.xml><?xml version="1.0" encoding="utf-8"?>
<ds:datastoreItem xmlns:ds="http://schemas.openxmlformats.org/officeDocument/2006/customXml" ds:itemID="{EE3CC7FE-EE68-41DA-81FF-794E425CB28E}">
  <ds:schemaRefs>
    <ds:schemaRef ds:uri="http://schemas.openxmlformats.org/officeDocument/2006/bibliography"/>
  </ds:schemaRefs>
</ds:datastoreItem>
</file>

<file path=customXml/itemProps3.xml><?xml version="1.0" encoding="utf-8"?>
<ds:datastoreItem xmlns:ds="http://schemas.openxmlformats.org/officeDocument/2006/customXml" ds:itemID="{F2DCA12E-CF72-43CE-8227-924D0A367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a0f08-1747-4cfe-b9d4-f2cbe2f3caac"/>
    <ds:schemaRef ds:uri="1189451e-5e55-49db-9f65-9f5b108d2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02EBE-4A6C-4BD6-A448-4A5EC16FC364}">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1ca0f08-1747-4cfe-b9d4-f2cbe2f3ca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Baker</dc:creator>
  <cp:lastModifiedBy>Bryan Dargie</cp:lastModifiedBy>
  <cp:revision>3</cp:revision>
  <cp:lastPrinted>2013-10-31T10:44:00Z</cp:lastPrinted>
  <dcterms:created xsi:type="dcterms:W3CDTF">2017-03-10T14:47:00Z</dcterms:created>
  <dcterms:modified xsi:type="dcterms:W3CDTF">2022-04-19T15:52:00Z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6800</vt:r8>
  </property>
  <property fmtid="{D5CDD505-2E9C-101B-9397-08002B2CF9AE}" pid="4" name="_CopySource">
    <vt:lpwstr>https://warringtonva-my.sharepoint.com/personal/heather_warringtonva_org_uk/Documents/Policies/New Policies/Personnel/Disciplinary policy.docx</vt:lpwstr>
  </property>
</Properties>
</file>